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5EB4" w14:textId="171B2B59"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shd w:val="clear" w:color="auto" w:fill="E6E6E6"/>
          <w:lang w:eastAsia="fr-BE"/>
          <w14:ligatures w14:val="none"/>
        </w:rPr>
        <w:br/>
      </w:r>
    </w:p>
    <w:p w14:paraId="62C222E3" w14:textId="52BD9440" w:rsidR="00292A75" w:rsidRDefault="00292A75" w:rsidP="00292A7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92A75">
        <w:rPr>
          <w:rFonts w:ascii="Lato" w:eastAsia="Times New Roman" w:hAnsi="Lato" w:cs="Times New Roman"/>
          <w:color w:val="CC3300"/>
          <w:kern w:val="36"/>
          <w:sz w:val="36"/>
          <w:szCs w:val="36"/>
          <w:lang w:eastAsia="fr-BE"/>
          <w14:ligatures w14:val="none"/>
        </w:rPr>
        <w:t>Silicium</w:t>
      </w:r>
      <w:r>
        <w:rPr>
          <w:rFonts w:ascii="Lato" w:eastAsia="Times New Roman" w:hAnsi="Lato" w:cs="Times New Roman"/>
          <w:color w:val="CC3300"/>
          <w:kern w:val="36"/>
          <w:sz w:val="36"/>
          <w:szCs w:val="36"/>
          <w:lang w:eastAsia="fr-BE"/>
          <w14:ligatures w14:val="none"/>
        </w:rPr>
        <w:t>,</w:t>
      </w:r>
      <w:r w:rsidRPr="00292A75">
        <w:rPr>
          <w:rFonts w:ascii="Lato" w:eastAsia="Times New Roman" w:hAnsi="Lato" w:cs="Times New Roman"/>
          <w:color w:val="CC3300"/>
          <w:kern w:val="36"/>
          <w:sz w:val="36"/>
          <w:szCs w:val="36"/>
          <w:lang w:eastAsia="fr-BE"/>
          <w14:ligatures w14:val="none"/>
        </w:rPr>
        <w:t xml:space="preserve"> le marché européen dans une situation critique</w:t>
      </w:r>
    </w:p>
    <w:p w14:paraId="21EF0FF3" w14:textId="77777777" w:rsidR="00292A75" w:rsidRPr="00292A75" w:rsidRDefault="00292A75" w:rsidP="00292A7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1652CC62"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Les producteurs européens de </w:t>
      </w:r>
      <w:r w:rsidRPr="00292A75">
        <w:rPr>
          <w:rFonts w:ascii="Lato" w:eastAsia="Times New Roman" w:hAnsi="Lato" w:cs="Times New Roman"/>
          <w:color w:val="000000"/>
          <w:kern w:val="0"/>
          <w:sz w:val="23"/>
          <w:szCs w:val="23"/>
          <w:u w:val="single"/>
          <w:lang w:eastAsia="fr-BE"/>
          <w14:ligatures w14:val="none"/>
        </w:rPr>
        <w:t>silicium</w:t>
      </w:r>
      <w:r w:rsidRPr="00292A75">
        <w:rPr>
          <w:rFonts w:ascii="Lato" w:eastAsia="Times New Roman" w:hAnsi="Lato" w:cs="Times New Roman"/>
          <w:color w:val="000000"/>
          <w:kern w:val="0"/>
          <w:sz w:val="23"/>
          <w:szCs w:val="23"/>
          <w:lang w:eastAsia="fr-BE"/>
          <w14:ligatures w14:val="none"/>
        </w:rPr>
        <w:t> font actuellement face à des vents contraires, avec d’une part, une demande en berne, et d’autre part, des importations à bas coût en provenance de Chine et d’Afrique. D’après des sources du marché, la situation est délicate au point que des suspensions de production soient envisagées. Les producteurs européens opèrent déjà à capacités réduites. « </w:t>
      </w:r>
      <w:r w:rsidRPr="00292A75">
        <w:rPr>
          <w:rFonts w:ascii="Lato" w:eastAsia="Times New Roman" w:hAnsi="Lato" w:cs="Times New Roman"/>
          <w:i/>
          <w:iCs/>
          <w:color w:val="000000"/>
          <w:kern w:val="0"/>
          <w:sz w:val="23"/>
          <w:szCs w:val="23"/>
          <w:lang w:eastAsia="fr-BE"/>
          <w14:ligatures w14:val="none"/>
        </w:rPr>
        <w:t>La situation est critique pour les producteurs européens et nous pourrions voir des nouvelles fermetures à court terme </w:t>
      </w:r>
      <w:r w:rsidRPr="00292A75">
        <w:rPr>
          <w:rFonts w:ascii="Lato" w:eastAsia="Times New Roman" w:hAnsi="Lato" w:cs="Times New Roman"/>
          <w:color w:val="000000"/>
          <w:kern w:val="0"/>
          <w:sz w:val="23"/>
          <w:szCs w:val="23"/>
          <w:lang w:eastAsia="fr-BE"/>
          <w14:ligatures w14:val="none"/>
        </w:rPr>
        <w:t>», avertit un producteur. « </w:t>
      </w:r>
      <w:r w:rsidRPr="00292A75">
        <w:rPr>
          <w:rFonts w:ascii="Lato" w:eastAsia="Times New Roman" w:hAnsi="Lato" w:cs="Times New Roman"/>
          <w:i/>
          <w:iCs/>
          <w:color w:val="000000"/>
          <w:kern w:val="0"/>
          <w:sz w:val="23"/>
          <w:szCs w:val="23"/>
          <w:lang w:eastAsia="fr-BE"/>
          <w14:ligatures w14:val="none"/>
        </w:rPr>
        <w:t>Nous travaillons à une fraction de notre capacité, pas pour gagner de l’argent, mais pour rester présent</w:t>
      </w:r>
      <w:r w:rsidRPr="00292A75">
        <w:rPr>
          <w:rFonts w:ascii="Lato" w:eastAsia="Times New Roman" w:hAnsi="Lato" w:cs="Times New Roman"/>
          <w:color w:val="000000"/>
          <w:kern w:val="0"/>
          <w:sz w:val="23"/>
          <w:szCs w:val="23"/>
          <w:lang w:eastAsia="fr-BE"/>
          <w14:ligatures w14:val="none"/>
        </w:rPr>
        <w:t>s », indique-t-il. Les résultats du premier trimestre de </w:t>
      </w:r>
      <w:proofErr w:type="spellStart"/>
      <w:r w:rsidRPr="00292A75">
        <w:rPr>
          <w:rFonts w:ascii="Lato" w:eastAsia="Times New Roman" w:hAnsi="Lato" w:cs="Times New Roman"/>
          <w:b/>
          <w:bCs/>
          <w:color w:val="000000"/>
          <w:kern w:val="0"/>
          <w:sz w:val="23"/>
          <w:szCs w:val="23"/>
          <w:lang w:eastAsia="fr-BE"/>
          <w14:ligatures w14:val="none"/>
        </w:rPr>
        <w:t>Ferroglobe</w:t>
      </w:r>
      <w:proofErr w:type="spellEnd"/>
      <w:r w:rsidRPr="00292A75">
        <w:rPr>
          <w:rFonts w:ascii="Lato" w:eastAsia="Times New Roman" w:hAnsi="Lato" w:cs="Times New Roman"/>
          <w:b/>
          <w:bCs/>
          <w:color w:val="000000"/>
          <w:kern w:val="0"/>
          <w:sz w:val="23"/>
          <w:szCs w:val="23"/>
          <w:lang w:eastAsia="fr-BE"/>
          <w14:ligatures w14:val="none"/>
        </w:rPr>
        <w:t> </w:t>
      </w:r>
      <w:r w:rsidRPr="00292A75">
        <w:rPr>
          <w:rFonts w:ascii="Lato" w:eastAsia="Times New Roman" w:hAnsi="Lato" w:cs="Times New Roman"/>
          <w:color w:val="000000"/>
          <w:kern w:val="0"/>
          <w:sz w:val="23"/>
          <w:szCs w:val="23"/>
          <w:lang w:eastAsia="fr-BE"/>
          <w14:ligatures w14:val="none"/>
        </w:rPr>
        <w:t>illustrent bien la problématique actuelle. Début mai, le producteur de </w:t>
      </w:r>
      <w:r w:rsidRPr="00292A75">
        <w:rPr>
          <w:rFonts w:ascii="Lato" w:eastAsia="Times New Roman" w:hAnsi="Lato" w:cs="Times New Roman"/>
          <w:color w:val="000000"/>
          <w:kern w:val="0"/>
          <w:sz w:val="23"/>
          <w:szCs w:val="23"/>
          <w:u w:val="single"/>
          <w:lang w:eastAsia="fr-BE"/>
          <w14:ligatures w14:val="none"/>
        </w:rPr>
        <w:t>silicium</w:t>
      </w:r>
      <w:r w:rsidRPr="00292A75">
        <w:rPr>
          <w:rFonts w:ascii="Lato" w:eastAsia="Times New Roman" w:hAnsi="Lato" w:cs="Times New Roman"/>
          <w:color w:val="000000"/>
          <w:kern w:val="0"/>
          <w:sz w:val="23"/>
          <w:szCs w:val="23"/>
          <w:lang w:eastAsia="fr-BE"/>
          <w14:ligatures w14:val="none"/>
        </w:rPr>
        <w:t> et de </w:t>
      </w:r>
      <w:r w:rsidRPr="00292A75">
        <w:rPr>
          <w:rFonts w:ascii="Lato" w:eastAsia="Times New Roman" w:hAnsi="Lato" w:cs="Times New Roman"/>
          <w:color w:val="000000"/>
          <w:kern w:val="0"/>
          <w:sz w:val="23"/>
          <w:szCs w:val="23"/>
          <w:u w:val="single"/>
          <w:lang w:eastAsia="fr-BE"/>
          <w14:ligatures w14:val="none"/>
        </w:rPr>
        <w:t>ferroalliages</w:t>
      </w:r>
      <w:r w:rsidRPr="00292A75">
        <w:rPr>
          <w:rFonts w:ascii="Lato" w:eastAsia="Times New Roman" w:hAnsi="Lato" w:cs="Times New Roman"/>
          <w:color w:val="000000"/>
          <w:kern w:val="0"/>
          <w:sz w:val="23"/>
          <w:szCs w:val="23"/>
          <w:lang w:eastAsia="fr-BE"/>
          <w14:ligatures w14:val="none"/>
        </w:rPr>
        <w:t> avait fait état d’une chute de 31,7% de ses expéditions au titre du premier trimestre, à 36.308 tonnes. Cette baisse des volumes - ils avaient totalisé 53.183 tonnes au premier trimestre 2024 - s’explique principalement par un repli des ventes vers l’Europe, l’Afrique et le Moyen-Orient.</w:t>
      </w:r>
    </w:p>
    <w:p w14:paraId="0177963C"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Le ralentissement de la demande, auquel font face les producteurs européens, intervient alors que les nouveaux producteurs, de Chine et d’Afrique, proposent des prix largement inférieurs. Ces derniers restent compétitifs en dépit des taxes anti-dumping de l’Union européenne, précisent les sources. « </w:t>
      </w:r>
      <w:r w:rsidRPr="00292A75">
        <w:rPr>
          <w:rFonts w:ascii="Lato" w:eastAsia="Times New Roman" w:hAnsi="Lato" w:cs="Times New Roman"/>
          <w:i/>
          <w:iCs/>
          <w:color w:val="000000"/>
          <w:kern w:val="0"/>
          <w:sz w:val="23"/>
          <w:szCs w:val="23"/>
          <w:lang w:eastAsia="fr-BE"/>
          <w14:ligatures w14:val="none"/>
        </w:rPr>
        <w:t>Nous achetions auparavant aux Européens parce que la qualité était meilleure, mais nous nous approvisionnons maintenant en Chine, où les prix sont inférieurs </w:t>
      </w:r>
      <w:r w:rsidRPr="00292A75">
        <w:rPr>
          <w:rFonts w:ascii="Lato" w:eastAsia="Times New Roman" w:hAnsi="Lato" w:cs="Times New Roman"/>
          <w:color w:val="000000"/>
          <w:kern w:val="0"/>
          <w:sz w:val="23"/>
          <w:szCs w:val="23"/>
          <w:lang w:eastAsia="fr-BE"/>
          <w14:ligatures w14:val="none"/>
        </w:rPr>
        <w:t>», reconnait un consommateur européen. Les producteurs européens ne semblent pas en mesure de concurrencer leurs homologues chinois ou africains. A l’occasion de la publication de ses résultats, </w:t>
      </w:r>
      <w:proofErr w:type="spellStart"/>
      <w:r w:rsidRPr="00292A75">
        <w:rPr>
          <w:rFonts w:ascii="Lato" w:eastAsia="Times New Roman" w:hAnsi="Lato" w:cs="Times New Roman"/>
          <w:b/>
          <w:bCs/>
          <w:color w:val="000000"/>
          <w:kern w:val="0"/>
          <w:sz w:val="23"/>
          <w:szCs w:val="23"/>
          <w:lang w:eastAsia="fr-BE"/>
          <w14:ligatures w14:val="none"/>
        </w:rPr>
        <w:t>Ferroglobe</w:t>
      </w:r>
      <w:proofErr w:type="spellEnd"/>
      <w:r w:rsidRPr="00292A75">
        <w:rPr>
          <w:rFonts w:ascii="Lato" w:eastAsia="Times New Roman" w:hAnsi="Lato" w:cs="Times New Roman"/>
          <w:b/>
          <w:bCs/>
          <w:color w:val="000000"/>
          <w:kern w:val="0"/>
          <w:sz w:val="23"/>
          <w:szCs w:val="23"/>
          <w:lang w:eastAsia="fr-BE"/>
          <w14:ligatures w14:val="none"/>
        </w:rPr>
        <w:t> </w:t>
      </w:r>
      <w:r w:rsidRPr="00292A75">
        <w:rPr>
          <w:rFonts w:ascii="Lato" w:eastAsia="Times New Roman" w:hAnsi="Lato" w:cs="Times New Roman"/>
          <w:color w:val="000000"/>
          <w:kern w:val="0"/>
          <w:sz w:val="23"/>
          <w:szCs w:val="23"/>
          <w:lang w:eastAsia="fr-BE"/>
          <w14:ligatures w14:val="none"/>
        </w:rPr>
        <w:t>avait déclaré : « </w:t>
      </w:r>
      <w:r w:rsidRPr="00292A75">
        <w:rPr>
          <w:rFonts w:ascii="Lato" w:eastAsia="Times New Roman" w:hAnsi="Lato" w:cs="Times New Roman"/>
          <w:i/>
          <w:iCs/>
          <w:color w:val="000000"/>
          <w:kern w:val="0"/>
          <w:sz w:val="23"/>
          <w:szCs w:val="23"/>
          <w:lang w:eastAsia="fr-BE"/>
          <w14:ligatures w14:val="none"/>
        </w:rPr>
        <w:t>En plus de la baisse des cours, l’EBITDA ajusté s’est de nouveau contracté, en raison principalement de la baisse des volumes, de la moindre absorption des coûts fixes et du renforcement des coûts énergétiques</w:t>
      </w:r>
      <w:r w:rsidRPr="00292A75">
        <w:rPr>
          <w:rFonts w:ascii="Lato" w:eastAsia="Times New Roman" w:hAnsi="Lato" w:cs="Times New Roman"/>
          <w:color w:val="000000"/>
          <w:kern w:val="0"/>
          <w:sz w:val="23"/>
          <w:szCs w:val="23"/>
          <w:lang w:eastAsia="fr-BE"/>
          <w14:ligatures w14:val="none"/>
        </w:rPr>
        <w:t> ».</w:t>
      </w:r>
    </w:p>
    <w:p w14:paraId="63CB2BF9"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 </w:t>
      </w:r>
    </w:p>
    <w:p w14:paraId="0462E7CC"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b/>
          <w:bCs/>
          <w:color w:val="000000"/>
          <w:kern w:val="0"/>
          <w:sz w:val="23"/>
          <w:szCs w:val="23"/>
          <w:lang w:eastAsia="fr-BE"/>
          <w14:ligatures w14:val="none"/>
        </w:rPr>
        <w:t>Morosité de la demande des utilisateurs finaux</w:t>
      </w:r>
    </w:p>
    <w:p w14:paraId="6163311C"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 xml:space="preserve">En outre, la demande des utilisateurs finaux s’est affaiblie. Le silicium est principalement utilisé dans la production d’alliages d’aluminium de seconde fusion, employés dans le secteur automobile. </w:t>
      </w:r>
      <w:proofErr w:type="gramStart"/>
      <w:r w:rsidRPr="00292A75">
        <w:rPr>
          <w:rFonts w:ascii="Lato" w:eastAsia="Times New Roman" w:hAnsi="Lato" w:cs="Times New Roman"/>
          <w:color w:val="000000"/>
          <w:kern w:val="0"/>
          <w:sz w:val="23"/>
          <w:szCs w:val="23"/>
          <w:lang w:eastAsia="fr-BE"/>
          <w14:ligatures w14:val="none"/>
        </w:rPr>
        <w:t>Ce dernier rencontre</w:t>
      </w:r>
      <w:proofErr w:type="gramEnd"/>
      <w:r w:rsidRPr="00292A75">
        <w:rPr>
          <w:rFonts w:ascii="Lato" w:eastAsia="Times New Roman" w:hAnsi="Lato" w:cs="Times New Roman"/>
          <w:color w:val="000000"/>
          <w:kern w:val="0"/>
          <w:sz w:val="23"/>
          <w:szCs w:val="23"/>
          <w:lang w:eastAsia="fr-BE"/>
          <w14:ligatures w14:val="none"/>
        </w:rPr>
        <w:t xml:space="preserve"> actuellement des difficultés en Europe. Le DIN226, qui est la référence européenne pour l’aluminium de seconde fusion, contient entre 8 et 11% de silicium. D’après les sources interrogées, les producteurs de cet alliage opèrent actuellement à 70% de leurs capacités. Les acteurs du marché soulignent, en outre, qu’un autre secteur consommateur de silicium, celui des produits chimiques à base de silicone, fait également face à des difficultés en Europe.</w:t>
      </w:r>
    </w:p>
    <w:p w14:paraId="355FDB42"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Le producteur </w:t>
      </w:r>
      <w:proofErr w:type="spellStart"/>
      <w:r w:rsidRPr="00292A75">
        <w:rPr>
          <w:rFonts w:ascii="Lato" w:eastAsia="Times New Roman" w:hAnsi="Lato" w:cs="Times New Roman"/>
          <w:b/>
          <w:bCs/>
          <w:color w:val="000000"/>
          <w:kern w:val="0"/>
          <w:sz w:val="23"/>
          <w:szCs w:val="23"/>
          <w:lang w:eastAsia="fr-BE"/>
          <w14:ligatures w14:val="none"/>
        </w:rPr>
        <w:t>Elkem</w:t>
      </w:r>
      <w:proofErr w:type="spellEnd"/>
      <w:r w:rsidRPr="00292A75">
        <w:rPr>
          <w:rFonts w:ascii="Lato" w:eastAsia="Times New Roman" w:hAnsi="Lato" w:cs="Times New Roman"/>
          <w:b/>
          <w:bCs/>
          <w:color w:val="000000"/>
          <w:kern w:val="0"/>
          <w:sz w:val="23"/>
          <w:szCs w:val="23"/>
          <w:lang w:eastAsia="fr-BE"/>
          <w14:ligatures w14:val="none"/>
        </w:rPr>
        <w:t> </w:t>
      </w:r>
      <w:r w:rsidRPr="00292A75">
        <w:rPr>
          <w:rFonts w:ascii="Lato" w:eastAsia="Times New Roman" w:hAnsi="Lato" w:cs="Times New Roman"/>
          <w:color w:val="000000"/>
          <w:kern w:val="0"/>
          <w:sz w:val="23"/>
          <w:szCs w:val="23"/>
          <w:lang w:eastAsia="fr-BE"/>
          <w14:ligatures w14:val="none"/>
        </w:rPr>
        <w:t>avait annoncé des augmentations de prix au niveau mondial en juillet 2024, en raison de la hausse des coûts. En janvier dernier, il a fait part d’une revue stratégique de sa division silicones. Ensuite, à des fins comptables, la société a attribué le statut ‘abandonnée’ et ‘actif détenu en vue d’une vente’ à cette activité.</w:t>
      </w:r>
    </w:p>
    <w:p w14:paraId="396B55E2"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 </w:t>
      </w:r>
    </w:p>
    <w:p w14:paraId="65CA8FF2"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b/>
          <w:bCs/>
          <w:color w:val="A52A2A"/>
          <w:kern w:val="0"/>
          <w:sz w:val="23"/>
          <w:szCs w:val="23"/>
          <w:lang w:eastAsia="fr-BE"/>
          <w14:ligatures w14:val="none"/>
        </w:rPr>
        <w:t>Cobalt : la Chine va réduire sa production</w:t>
      </w:r>
    </w:p>
    <w:p w14:paraId="270136BE"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Plusieurs producteurs chinois de </w:t>
      </w:r>
      <w:r w:rsidRPr="00292A75">
        <w:rPr>
          <w:rFonts w:ascii="Lato" w:eastAsia="Times New Roman" w:hAnsi="Lato" w:cs="Times New Roman"/>
          <w:color w:val="000000"/>
          <w:kern w:val="0"/>
          <w:sz w:val="23"/>
          <w:szCs w:val="23"/>
          <w:u w:val="single"/>
          <w:lang w:eastAsia="fr-BE"/>
          <w14:ligatures w14:val="none"/>
        </w:rPr>
        <w:t>cobalt</w:t>
      </w:r>
      <w:r w:rsidRPr="00292A75">
        <w:rPr>
          <w:rFonts w:ascii="Lato" w:eastAsia="Times New Roman" w:hAnsi="Lato" w:cs="Times New Roman"/>
          <w:color w:val="000000"/>
          <w:kern w:val="0"/>
          <w:sz w:val="23"/>
          <w:szCs w:val="23"/>
          <w:lang w:eastAsia="fr-BE"/>
          <w14:ligatures w14:val="none"/>
        </w:rPr>
        <w:t xml:space="preserve"> prévoient de réduire ou suspendre leur production en juin, en réaction à la faiblesse des cours et aux incertitudes concernant l’approvisionnement en matières premières. Deux producteurs majeurs envisageraient </w:t>
      </w:r>
      <w:r w:rsidRPr="00292A75">
        <w:rPr>
          <w:rFonts w:ascii="Lato" w:eastAsia="Times New Roman" w:hAnsi="Lato" w:cs="Times New Roman"/>
          <w:color w:val="000000"/>
          <w:kern w:val="0"/>
          <w:sz w:val="23"/>
          <w:szCs w:val="23"/>
          <w:lang w:eastAsia="fr-BE"/>
          <w14:ligatures w14:val="none"/>
        </w:rPr>
        <w:lastRenderedPageBreak/>
        <w:t>d’opérer à moins de 50% de leur capacité. Plusieurs petits producteurs ont déjà suspendu totalement leur production, ou prévoient de le faire. « </w:t>
      </w:r>
      <w:r w:rsidRPr="00292A75">
        <w:rPr>
          <w:rFonts w:ascii="Lato" w:eastAsia="Times New Roman" w:hAnsi="Lato" w:cs="Times New Roman"/>
          <w:i/>
          <w:iCs/>
          <w:color w:val="000000"/>
          <w:kern w:val="0"/>
          <w:sz w:val="23"/>
          <w:szCs w:val="23"/>
          <w:lang w:eastAsia="fr-BE"/>
          <w14:ligatures w14:val="none"/>
        </w:rPr>
        <w:t>Nous allons produire de quoi honorer les commandes passées le mois dernier et quelques commandes supplémentaires à l’exportation. Après cela, nous allons mettre en pause la production pendant un mois </w:t>
      </w:r>
      <w:r w:rsidRPr="00292A75">
        <w:rPr>
          <w:rFonts w:ascii="Lato" w:eastAsia="Times New Roman" w:hAnsi="Lato" w:cs="Times New Roman"/>
          <w:color w:val="000000"/>
          <w:kern w:val="0"/>
          <w:sz w:val="23"/>
          <w:szCs w:val="23"/>
          <w:lang w:eastAsia="fr-BE"/>
          <w14:ligatures w14:val="none"/>
        </w:rPr>
        <w:t>», indique un producteur. Ceci intervient après plusieurs semaines de pression grandissante sur le marché chinois du </w:t>
      </w:r>
      <w:r w:rsidRPr="00292A75">
        <w:rPr>
          <w:rFonts w:ascii="Lato" w:eastAsia="Times New Roman" w:hAnsi="Lato" w:cs="Times New Roman"/>
          <w:color w:val="000000"/>
          <w:kern w:val="0"/>
          <w:sz w:val="23"/>
          <w:szCs w:val="23"/>
          <w:u w:val="single"/>
          <w:lang w:eastAsia="fr-BE"/>
          <w14:ligatures w14:val="none"/>
        </w:rPr>
        <w:t>cobalt</w:t>
      </w:r>
      <w:r w:rsidRPr="00292A75">
        <w:rPr>
          <w:rFonts w:ascii="Lato" w:eastAsia="Times New Roman" w:hAnsi="Lato" w:cs="Times New Roman"/>
          <w:color w:val="000000"/>
          <w:kern w:val="0"/>
          <w:sz w:val="23"/>
          <w:szCs w:val="23"/>
          <w:lang w:eastAsia="fr-BE"/>
          <w14:ligatures w14:val="none"/>
        </w:rPr>
        <w:t>. Le 22 juin prochain, la République démocratique du Congo doit annoncer sa décision de prolonger ou modifier son interdiction d’exporter, en cours depuis fin février. Cette incertitude alimente les craintes des producteurs chinois quant à leur approvisionnement en </w:t>
      </w:r>
      <w:r w:rsidRPr="00292A75">
        <w:rPr>
          <w:rFonts w:ascii="Lato" w:eastAsia="Times New Roman" w:hAnsi="Lato" w:cs="Times New Roman"/>
          <w:color w:val="000000"/>
          <w:kern w:val="0"/>
          <w:sz w:val="23"/>
          <w:szCs w:val="23"/>
          <w:u w:val="single"/>
          <w:lang w:eastAsia="fr-BE"/>
          <w14:ligatures w14:val="none"/>
        </w:rPr>
        <w:t>hydroxyde de cobalt</w:t>
      </w:r>
      <w:r w:rsidRPr="00292A75">
        <w:rPr>
          <w:rFonts w:ascii="Lato" w:eastAsia="Times New Roman" w:hAnsi="Lato" w:cs="Times New Roman"/>
          <w:color w:val="000000"/>
          <w:kern w:val="0"/>
          <w:sz w:val="23"/>
          <w:szCs w:val="23"/>
          <w:lang w:eastAsia="fr-BE"/>
          <w14:ligatures w14:val="none"/>
        </w:rPr>
        <w:t>. « </w:t>
      </w:r>
      <w:r w:rsidRPr="00292A75">
        <w:rPr>
          <w:rFonts w:ascii="Lato" w:eastAsia="Times New Roman" w:hAnsi="Lato" w:cs="Times New Roman"/>
          <w:i/>
          <w:iCs/>
          <w:color w:val="000000"/>
          <w:kern w:val="0"/>
          <w:sz w:val="23"/>
          <w:szCs w:val="23"/>
          <w:lang w:eastAsia="fr-BE"/>
          <w14:ligatures w14:val="none"/>
        </w:rPr>
        <w:t>Le marché est extrêmement calme actuellement. Tout le monde attend du nouveau de la RDC et personne ne veut s’engager avant d’en savoir plus </w:t>
      </w:r>
      <w:r w:rsidRPr="00292A75">
        <w:rPr>
          <w:rFonts w:ascii="Lato" w:eastAsia="Times New Roman" w:hAnsi="Lato" w:cs="Times New Roman"/>
          <w:color w:val="000000"/>
          <w:kern w:val="0"/>
          <w:sz w:val="23"/>
          <w:szCs w:val="23"/>
          <w:lang w:eastAsia="fr-BE"/>
          <w14:ligatures w14:val="none"/>
        </w:rPr>
        <w:t>», explique un négociant. « </w:t>
      </w:r>
      <w:r w:rsidRPr="00292A75">
        <w:rPr>
          <w:rFonts w:ascii="Lato" w:eastAsia="Times New Roman" w:hAnsi="Lato" w:cs="Times New Roman"/>
          <w:i/>
          <w:iCs/>
          <w:color w:val="000000"/>
          <w:kern w:val="0"/>
          <w:sz w:val="23"/>
          <w:szCs w:val="23"/>
          <w:lang w:eastAsia="fr-BE"/>
          <w14:ligatures w14:val="none"/>
        </w:rPr>
        <w:t>Au vu du contexte, l’offre en matières premières n’est pas garantie. La demande en aval étant déjà affaiblie, nous prévoyons de conserver notre stock et d’éviter la pleine production pour le moment </w:t>
      </w:r>
      <w:r w:rsidRPr="00292A75">
        <w:rPr>
          <w:rFonts w:ascii="Lato" w:eastAsia="Times New Roman" w:hAnsi="Lato" w:cs="Times New Roman"/>
          <w:color w:val="000000"/>
          <w:kern w:val="0"/>
          <w:sz w:val="23"/>
          <w:szCs w:val="23"/>
          <w:lang w:eastAsia="fr-BE"/>
          <w14:ligatures w14:val="none"/>
        </w:rPr>
        <w:t>», indique le producteur.</w:t>
      </w:r>
    </w:p>
    <w:p w14:paraId="749DEC37" w14:textId="77777777" w:rsidR="00292A75" w:rsidRPr="00292A75" w:rsidRDefault="00292A75" w:rsidP="00292A7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92A75">
        <w:rPr>
          <w:rFonts w:ascii="Lato" w:eastAsia="Times New Roman" w:hAnsi="Lato" w:cs="Times New Roman"/>
          <w:color w:val="000000"/>
          <w:kern w:val="0"/>
          <w:sz w:val="23"/>
          <w:szCs w:val="23"/>
          <w:lang w:eastAsia="fr-BE"/>
          <w14:ligatures w14:val="none"/>
        </w:rPr>
        <w:t> </w:t>
      </w:r>
    </w:p>
    <w:p w14:paraId="232991D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5"/>
    <w:rsid w:val="00053481"/>
    <w:rsid w:val="00287462"/>
    <w:rsid w:val="00292A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0407"/>
  <w15:chartTrackingRefBased/>
  <w15:docId w15:val="{AC36BA55-7236-4498-84F5-3FC28310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2A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2A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2A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2A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2A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2A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2A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A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2A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2A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2A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2A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2A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2A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2A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2A75"/>
    <w:rPr>
      <w:rFonts w:eastAsiaTheme="majorEastAsia" w:cstheme="majorBidi"/>
      <w:color w:val="272727" w:themeColor="text1" w:themeTint="D8"/>
    </w:rPr>
  </w:style>
  <w:style w:type="paragraph" w:styleId="Titre">
    <w:name w:val="Title"/>
    <w:basedOn w:val="Normal"/>
    <w:next w:val="Normal"/>
    <w:link w:val="TitreCar"/>
    <w:uiPriority w:val="10"/>
    <w:qFormat/>
    <w:rsid w:val="0029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2A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2A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2A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2A75"/>
    <w:pPr>
      <w:spacing w:before="160"/>
      <w:jc w:val="center"/>
    </w:pPr>
    <w:rPr>
      <w:i/>
      <w:iCs/>
      <w:color w:val="404040" w:themeColor="text1" w:themeTint="BF"/>
    </w:rPr>
  </w:style>
  <w:style w:type="character" w:customStyle="1" w:styleId="CitationCar">
    <w:name w:val="Citation Car"/>
    <w:basedOn w:val="Policepardfaut"/>
    <w:link w:val="Citation"/>
    <w:uiPriority w:val="29"/>
    <w:rsid w:val="00292A75"/>
    <w:rPr>
      <w:i/>
      <w:iCs/>
      <w:color w:val="404040" w:themeColor="text1" w:themeTint="BF"/>
    </w:rPr>
  </w:style>
  <w:style w:type="paragraph" w:styleId="Paragraphedeliste">
    <w:name w:val="List Paragraph"/>
    <w:basedOn w:val="Normal"/>
    <w:uiPriority w:val="34"/>
    <w:qFormat/>
    <w:rsid w:val="00292A75"/>
    <w:pPr>
      <w:ind w:left="720"/>
      <w:contextualSpacing/>
    </w:pPr>
  </w:style>
  <w:style w:type="character" w:styleId="Accentuationintense">
    <w:name w:val="Intense Emphasis"/>
    <w:basedOn w:val="Policepardfaut"/>
    <w:uiPriority w:val="21"/>
    <w:qFormat/>
    <w:rsid w:val="00292A75"/>
    <w:rPr>
      <w:i/>
      <w:iCs/>
      <w:color w:val="0F4761" w:themeColor="accent1" w:themeShade="BF"/>
    </w:rPr>
  </w:style>
  <w:style w:type="paragraph" w:styleId="Citationintense">
    <w:name w:val="Intense Quote"/>
    <w:basedOn w:val="Normal"/>
    <w:next w:val="Normal"/>
    <w:link w:val="CitationintenseCar"/>
    <w:uiPriority w:val="30"/>
    <w:qFormat/>
    <w:rsid w:val="0029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2A75"/>
    <w:rPr>
      <w:i/>
      <w:iCs/>
      <w:color w:val="0F4761" w:themeColor="accent1" w:themeShade="BF"/>
    </w:rPr>
  </w:style>
  <w:style w:type="character" w:styleId="Rfrenceintense">
    <w:name w:val="Intense Reference"/>
    <w:basedOn w:val="Policepardfaut"/>
    <w:uiPriority w:val="32"/>
    <w:qFormat/>
    <w:rsid w:val="00292A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3867</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2025-06-03T05:16:00Z</dcterms:created>
  <dcterms:modified xsi:type="dcterms:W3CDTF">2025-06-03T05:17:00Z</dcterms:modified>
</cp:coreProperties>
</file>